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 vom 5. Juni 2009</w:t>
      </w:r>
    </w:p>
    <w:p>
      <w:r>
        <w:t>Sg Versicherungsgericht, 2009-06-05, DE</w:t>
      </w:r>
    </w:p>
    <w:p>
      <w:r>
        <w:rPr>
          <w:b/>
        </w:rPr>
        <w:t xml:space="preserve">Quelle: </w:t>
      </w:r>
      <w:r>
        <w:t>https://mcp.opencaselaw.ch/entscheid/sg_publikationen_IV 2008_22</w:t>
      </w:r>
    </w:p>
    <w:p>
      <w:r>
        <w:t>FR: SG_VERSICHERUNGSGERICHT IV 2008/22 du 5 juin 2009</w:t>
      </w:r>
    </w:p>
    <w:p>
      <w:r>
        <w:t>IT: SG_VERSICHERUNGSGERICHT IV 2008/22 del 5 giugno 2009</w:t>
      </w:r>
    </w:p>
    <w:p>
      <w:pPr>
        <w:pStyle w:val="Heading2"/>
      </w:pPr>
      <w:r>
        <w:t>Regeste</w:t>
      </w:r>
    </w:p>
    <w:p>
      <w:r>
        <w:t>Art. 8 und 28 IVG. Beweiswert von medizinischen Gutachten. Rentenanspruch verneint. Anspruch auf berufliche Massnahmen bei einem IV-Grad von 20% verneint. Weder könnte die Arbeitsfähigkeit damit verbessert werden noch sind die Voraussetzungen für eine höherwertige - vierte - Berufsausbildung erfüllt (Entscheid des Versicherungsgerichts des Kantons St. Gallen vom 5. Juni 2009, IV 2008/22).</w:t>
      </w:r>
    </w:p>
    <w:p>
      <w:pPr>
        <w:pStyle w:val="Heading2"/>
      </w:pPr>
      <w:r>
        <w:t>Erwägungen</w:t>
      </w:r>
    </w:p>
    <w:p>
      <w:r>
        <w:rPr>
          <w:b/>
        </w:rPr>
        <w:t>E. 1</w:t>
      </w:r>
    </w:p>
    <w:p>
      <w:r>
        <w:t>1.1  Streitig und zu prüfen sind vorliegend sowohl der Anspruch auf berufliche Massnahmen als auch derjenige auf eine allfällige Rente. Die Beschwerdegegnerin hat die beiden Entscheide in separaten Verfahren erlassen. Indem der Vertreter der Beschwerdeführerin mit einer Beschwerdeschrift gegen beide Entscheide Beschwerde erhebt, beantragt er implizit die Vereinigung der beiden Verfahren. Vorliegend hängen die Streitgegenstände der beiden Verfahren eng zusammen, es stellen sich weitgehend die gleichen Rechtsfragen und es stehen sich dieselben Parteien gegenüber. Somit rechtfertigt es sich, die beiden Verfahren zu vereinigen und darüber in einem einzigen Urteil zu befinden.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19. November 2007 eingetretenen Sachverhalt abzustellen ist (BGE 121 V 366 Erw. 1b), sind auf die angefochtene Verfügungdie bis zum 31. Dezember 2007 gültig gewesenen materiellen Bestimmungen anzuwenden.</w:t>
      </w:r>
    </w:p>
    <w:p>
      <w:r>
        <w:rPr>
          <w:b/>
        </w:rPr>
        <w:t>E. 2</w:t>
      </w:r>
    </w:p>
    <w:p>
      <w:r>
        <w:t>2.1  Streitig ist zunächst ein allfälliger Rentenanspruch der Beschwerdeführerin.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bis 31. Dezember 2007 gültig gewesenen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(aArt. 28 Abs. 1 IVG). 2.2  Um das Ausmass der Erwerbsunfähigkeit beurteilen und somit den Rentenanspruch prüfen bzw.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Erw. 3a). Die Rechtsprechung hat es dennoch mit dem Grundsatz der freien Beweiswürdigung als vereinbar erachtet, in Bezug auf bestimmte Formen medizinischer Berichte und Gutachten Richtlinien für die Beweiswürdigung aufzustellen (BGE 125 V 351 Erw.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Erw.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Erw. 3c). Was Berichte von Hausärzten angeht, muss die Erfahrungstatsache mitberücksichtigt werden, dass Hausärzte mitunter aufgrund ihrer auftragsrechtlichen Vertrauensstellung eher dazu neigen, zu Gunsten ihrer Patienten auszusagen (BGE 125 V 351 Erw.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Erw.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Erw. 2.2.1 mit Hinweisen).</w:t>
      </w:r>
    </w:p>
    <w:p>
      <w:r>
        <w:rPr>
          <w:b/>
        </w:rPr>
        <w:t>E. 3</w:t>
      </w:r>
    </w:p>
    <w:p>
      <w:r>
        <w:t>3.1  Die Beschwerdegegnerin stützt die angefochtenen Entscheide in erster Linie auf das MEDAS-Gutachten vom 21. Juni 2007. 3.2  Der Vertreter der Beschwerdeführerin macht zunächst geltend, es könne nicht auf dieses Gutachten abgestellt werden. Das Gutachten sei nicht umfassend, es sei weder objektiv noch unvoreingenommen erfolgt und Dr. L.___ nehme darin keinerlei Bezug auf die wesentlich abweichenden Feststellungen von Dr. med. A.___. Das MEDAS-Gutachten genügt den rechtlichen Anforderungen, welche die Rechtsprechung an ein Gutachten stellt (vgl. Erw. 2.3). Die Vorbringen des Rechtsvertreters der Beschwerdeführerin vermögen diesbezüglich keine ernsthaften Zweifel zu wecken. Die Beschwerdeführerin wurde in allgemein- und intermedizinischer, in handchirurgisch-orthopädischer und in psychiatrischer Hinsicht untersucht. Unbeachtlich ist dabei, wie oft die Beschwerdeführerin untersucht wurde, denn mehrfache Untersuchungen in den gleichen Bereichen müssen ein Gutachten nicht umfassender machen und steigern nicht zwingend seine Qualität. Das vorliegende Gutachten äussert sich jedenfalls umfassend sowohl in Bezug auf die objektiven Befunde als auch auf die subjektiven Angaben. Der Rechtsvertreter bemängelt, das MEDAS-Gutachten vom 21. Juni 2007 beziehe sich auf das frühere MEDAS-Gutachten vom 22. März 2005 und sei deshalb weder objektiv noch unvoreingenommen erfolgt. Dem ist zu entgegnen, dass es je nach Fragestellung vorteilhaft sein kann, wenn eine zweite Begutachtung von der gleichen Stelle durchgeführt wird. Geht es nämlich wie vorliegend um eine Verlaufsbegutachtung, ist es durchaus sinnvoll, die frühere Begutachtungsstelle zur Entwicklung des Beschwerdebildes und der Arbeitsfähigkeit zu befragen, denn sie hat sich bereits mit der Beschwerdeführerin befasst. Umstände, die den Anschein einer Befangenheit oder die Gefahr einer Voreingenommenheit seitens der Gutachter zu begründen vermögen, sind nicht ersichtlich. Ausserdem ist festzustellen, dass die Gutachter entsprechend der bundesgerichtlichen Rechtsprechung die Vorakten, insbesondere auch die Diagnosen von Dr. med. A.___, berücksichtigt haben. Abgesehen von der unterschiedlichen Einschätzung der Arbeitsfähigkeit kann allerdings keine wesentlich abweichende Beurteilung von Dr. A.___ festgestellt werden. Jedenfalls erscheint die Beurteilung des Gutachtens insgesamt anschaulich und nachvollziehbar. 3.3  Des Weiteren macht der Vertreter der Beschwerdeführerin geltend, im somatischen Bereich sei statt auf das besagte Gutachten auf den ärztlichen Bericht von Dr. med. A.___ abzustellen, denn dieser habe die Beschwerdeführerin operiert und kenne sie am längsten und besten. Sein ärztlicher Bericht beruhe auf neuen Untersuchungen und sei entgegen der Behauptung der Beschwerdegegnerin sowohl objektiv als auch unvoreingenommen erfolgt. Bis Ende 1999 stand die Beschwerdeführerin bei Dr. med. A.___ wegen Beschwerden in beiden Händen in Behandlung, wobei er sie mehrfach am rechten Handgelenk operierte (act. G5.1.7 und 15). Anschliessend war die Beschwerdeführerin wegen diverser Leiden, u.a. auch wegen den Handgelenksbeschwerden, bei verschiedenen Ärzten in Behandlung. Am 20. April 2006 suchte sie erneut die Sprechstunde von Dr. med. A.___ auf und zuletzt, auf Anraten ihres Rechtsvertreters, am 19. Dezember 2007 (act. G5.1.94 und 134). Das MEDAS-Gutachten erfolgte nach ambulanten Untersuchungen vom 14. bis 16. Mai 2007. Demzufolge beruht die Beurteilung von Dr. med. A.___ nicht auf wesentlich neueren Untersuchungen, zumal er nach dem letzten Untersuch mit seinem Schreiben vom 24. Dezember 2007 an Dr. med. I.___ in erster Linie auf seinen Arztbericht vom 20. April 2006 verweist. Dr. med. A.___ beurteilt den Verlauf der Handgelenksbeschwerden bis zur Begutachtung und äussert sich dahingehend, dass eine 50%-ige IV-Rente gerechtfertigt und sinnvoll wäre. Dabei liefert er aber weder Befunde noch Begründungen, die an den Ausführungen gemäss MEDAS-Gutachten Zweifel aufkommen lassen. Als Operateur kennt er die Leidensgeschichte der Beschwerdeführerin seit längerer Zeit und konnte mitverfolgen, dass die Eingriffe zumindest subjektiv nicht den gewünschten Erfolg brachten. Gemäss der Rechtsprechung ist u.a. der Erfahrungstatsache Rechnung zu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vgl. auch Ulrich Meyer-Blaser, Der Rechtsbegriff der Arbeitsunfähigkeit und seine Bedeutung in der Sozialversicherung, namentlich für den Einkommensvergleich in der Invaliditätsbemessung, in: Schaffhauser/ Schlauri [Hrsg.], Schmerz und Arbeitsunfähigkeit, St. Gallen 2003, S. 51). Auch wenn die Behandlung von Ende 1999 bis April 2006 unterbrochen wurde, ist Dr. med. A.___ doch als behandelnder Arzt zu qualifizieren und nicht als neutraler, von der mehrjährigen Behandlungsgeschichte unbeeinflusster Gutachter. Somit sind keine Gründe ersichtlich, weshalb bei der Beurteilung der Arbeitsfähigkeit auf den Arztbericht von Dr. med. A.___ statt auf das MEDAS-Gutachten abzustellen wäre. Demzufolge kann offen bleiben, wie die Aussage von Dr. med. A.___, wonach eine 50%-ige IV-Rente gerechtfertigt und sinnvoll sei, genau zu verstehen ist. Sie hat keinen Beweiswert, der das MEDAS-Gutachten in Frage stellen könnte. 3.4  Hinsichtlich der psychiatrischen Situation macht der Vertreter der Beschwerdeführerin geltend, statt auf das MEDAS-Gutachten sei auf den Arztbericht von Dr. med. K.___ abzustellen. Die Ärztin habe die Beschwerdeführerin seit längerer Zeit begleitet und ihre Berichte aufgrund neuerer Untersuchungen verfasst. Daher sei sie eher in der Lage, eine objektive Bewertung ihres psychischen Zustandes abzugeben. Bei der Beurteilung der psychiatrischen Situation ist ein Abstellen auf den Arztbericht von Dr. med. K.___ unbegründet. Denn auch Dr. med. K.___ ist als behandelnde Ärztin der Beschwerdeführerin zu betrachten und ist damit nicht neutrale, von der mehrjährigen Behandlungsgeschichte unbeeinflusste Gutachterin. Hinzu kommt, dass der ärztliche Bericht von Dr. med. K.___ und das Gutachten bezüglich der Arbeitsfähigkeitsschätzung nicht divergieren. Mit Arztbericht vom 4. Januar 2008 bestätigte Dr. med. K.___, dass die Beschwerdeführerin seit November 2005 unregelmässig und in grossen Abständen zu ihr in die psychiatrisch-psychotherapeutische Behandlung komme. Insgesamt habe sie die Beschwerdeführerin 14 Mal gesehen. Die Beschwerdeführerin leide an intermittierend starken Stimmungsschwankungen mit depressiven Einbrüchen sowie an Migräne seit ihrer Jugendzeit. Die Ärztin beurteilte die Arbeitsfähigkeit aus psychiatrischer Sicht mit 100%. Das MEDAS-Gutachten diagnostizierte in psychiatrischer Hinsicht eine artifizielle Störung (absichtliches Erzeugen von körperlichen oder psychischen Symptomen oder Behinderungen; Münchhausen-Syndrom) sowie eine kombinierte Persönlichkeitsstörung. Insgesamt liege zwar eine neurotische Störung vor, die aber per se keinen Krankheitswert habe und demnach die Arbeitsfähigkeit nicht zusätzlich einschränke. Damit unterscheiden sich zwar die psychiatrischen Diagnosen von Dr. med. K.___ und dem Gutachten. Hinsichtlich der Einschätzung der Arbeitsfähigkeit ist man sich aber einig. Somit ist der Folgerung der Beschwerdegegnerin zuzustimmen, dass die psychiatrische Seite für die Arbeitsfähigkeit nicht relevant ist. Zusammenfassend ist festzustellen, dass die gutachterliche Beurteilung insgesamt plausibel und nachvollziehbar erscheint. Die Gutachter setzen sich mit der Arbeitsfähigkeit der Beschwerdeführerin ausführlich und überzeugend auseinander, weshalb an der Arbeitsfähigkeitseinschätzung keine ernsthaften Zweifel bestehen. Folglich kann vorliegend auf das MEDAS-Gutachten vom 21. Juni 2007 abgestellt werden. Demnach ist die Beschwerdeführerin für leichte Tätigkeiten, wie kaufmännische Angestellte, als Mitarbeiterin in einer Arztpraxis oder als Heilpraktikerin als 80% arbeitsfähig zu betrachten. Die Beschwerdegegnerin hat mittels Einkommensvergleich (Invalideneinkommen von Fr. 48'614.00, Valideneinkommen Fr. 60'768.00), eine jährliche Erwerbseinbusse von Fr. 12'153.00 und damit einen Invaliditätsgrad von 20% errechnet. Der Vertreter der Beschwerdeführerin beanstandete diese Berechnung nicht. Bei einem Invaliditätsgrad von 20% hat die Beschwerdegegnerin den Anspruch der Beschwerdeführerin auf eine Rente zu Recht verneint, entsteht ein solcher doch erst bei einem Invaliditätsgrad von 40% (Art. 28 Abs. 1 aIVG, Art. 28 Abs. 2 rev.IVG). Daran ändert nichts, dass wohl ein Leidensabzug einzuberechnen gewesen wäre.</w:t>
      </w:r>
    </w:p>
    <w:p>
      <w:r>
        <w:rPr>
          <w:b/>
        </w:rPr>
        <w:t>E. 4</w:t>
      </w:r>
    </w:p>
    <w:p>
      <w:r>
        <w:t>4.1  Zu prüfen bleibt der Anspruch der Beschwerdeführerin auf berufliche Massnahmen. Nach Art. 8 Abs. 1 aIVG haben Invalide oder von einer Invalidität unmittelbar bedrohte versicherte Personen bzw. Invalide und von einer Invalidität bedrohte Versicherte (Art. 8 Abs. 1 rev. IVG)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bestehen in medizinischen Massnahmen, Integrationsmassnahmen zur Vorbereitung auf die berufliche Eingliederung, Massnahmen beruflicher Art (Berufsberatung, erstmalige berufliche Ausbildung, Umschulung, Arbeitsvermittlung, Kapitalhilfe) und der Abgabe von Hilfsmitteln (Art. 8 Abs. 3 rev. IVG). Die beruflichen Massnahmen sind von Gesetzes wegen nicht an einen bestimmten Invaliditätsgrad gebunden. Die Rechtsprechung bejaht einen entsprechenden Anspruch in der Regel ab einer Invalidität von mindestens 20%, doch handelt es sich dabei nicht um eine starre Grenze. Bei Vorliegen besonderer Umstände kann im Einzelfall auch bei einem Invaliditätsgrad von weniger als 20% ein Anspruch auf berufliche Massnahmen bejaht werden (vgl. BGE 127 V 133 f. E. 4 b/ff und gg, mit Hinweisen). Der Anspruch auf eine berufliche Massnahme setzt voraus, dass sie sich zur Erreichung des von ihr bezweckten Eingliederungsziels eignet; dies nicht nur objektiv mit Bezug auf die Massnahme, sondern auch subjektiv mit Bezug auf die Person der Versicherten. Denn eingliederungswirksam kann eine Massnahme nur sein, wenn der Ansprecher selber wenigstens teilweise eingliederungsfähig ist (AHI 2002 S.109). 4.2  Vorliegend ging die Beschwerdegegnerin von einem Invaliditätsgrad von 20% aus, womit die Beschwerdeführerin grundsätzlich Anspruch auf berufliche Eingliederungsmassnahmen hat. Ein Anspruch wurde jedoch mit Verfügung vom 19. November 2007 verneint, weil die Beschwerdeführerin auch ohne berufliche Massnahmen zu 80% als Arztgehilfin arbeitsfähig sei (act. G5.1.128). Aus den Akten sind allerdings weder aktuelle Abklärungen beim Eingliederungsberater noch beim Berufsberater ersichtlich. Somit ist davon auszugehen, dass sich die Beschwerdegegnerin bei ihrem Entscheid einzig auf die Schlussfolgerung gemäss MEDAS-Gutachten stützte. Danach seien keine medizinischen oder beruflichen Massnahmen zur Verbesserung der Arbeitsfähigkeit indiziert. Auf der anderen Seite sind weder der Einspruch noch die Beschwerde gegen die Verneinung eines Anspruchs auf berufliche Massnahmen näher begründet worden. In der Tat hat schon die SUVA im Jahr 2000 festgestellt, der Versicherten sei bei ihrer dreifachen Ausbildung zuzumuten, eine geeignete Arbeitsstelle ohne neue berufliche Massnahmen anzutreten. Medizinisch steht zudem fest, dass die körperlichen Behinderungen die Versicherte auch in einer neuen adaptierten Tätigkeit in gleichem Umfang behindern würden wie in den bereits erlernten Berufen. Die Leistungseinbusse von 20% könnte derart nur mit einer höherwertigen Ausbildung verbessert werden. Dafür fehlen nach der Aktenlage die Erfolg versprechenden sachlichen und medizinischen Voraussetzungen, fühlt sich die Versicherte doch nur als halb einsatzfähig. Für eine Stellenvermittlung kann sich die Versicherte im Bedarfsfall wieder an die IV-Stelle wenden, wenn sie die zumutbare Leistung zu erbringen willens ist.</w:t>
      </w:r>
    </w:p>
    <w:p>
      <w:r>
        <w:rPr>
          <w:b/>
        </w:rPr>
        <w:t>E. 5</w:t>
      </w:r>
    </w:p>
    <w:p>
      <w:r>
        <w:t>5.1  Die Beschwerde betreffend Rentenanspruch und berufliche Massnahmen ist daher abzuweisen. 5.2  Der Beschwerdeführerin wurde die unentgeltliche Prozessführung und Rechtsverbeiständung am 27. Februar 2008 bewilligt (act. G7). Wenn die wirtschaftlichen Verhältnisse des Beschwerdeführers es gestatten, kann sie jedoch zur Nachzahlung der Gerichtskosten, der Auslagen für die Vertretung und der vom Staat entschädigten Parteikosten verpflichtet werden (Art. 288 Abs. 1 ZPO/SG i.V.m. Art. 99 Abs. 2 VRP/SG). 5.2.1 Das Beschwerdeverfahren ist kostenpflichtig. Die Kosten werden nach dem Verfahrensaufwand und unabhängig vom Streitwert im Rahmen von Fr. 200.00 bis Fr. 1'000.00 festgelegt (Art. 69 Abs. 1bis IVG). Eine Gerichtsgebühr von insgesamt Fr. 600.00 erscheint als angemessen. Die Gerichtskosten sind der unterliegenden Partei aufzuerlegen. 5.2.2 Die Parteientschädigung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Komplexität der Streitsache angemessen erscheint eine Parteientschädigung von pauschal Fr. 3'500.00 (inklusive Barauslagen und Mehrwertsteuer). Die Parteikosten sind dem Rechtsvertreter der Beschwerdeführerin zufolge unentgeltlicher Rechtsvertretung durch den Staat zu entschädigen. Nach Art. 31 Abs. 3 des Anwaltsgesetzes (sGS 963.70) steht dem unentgeltlichen Vertreter ein um 20% reduziertes Honorar zu. Der Staat hat den Vertreter der Beschwerdeführerin deshalb mit Fr. 2'800.00 zu entschädigen. Demgemäss hat das Versicherungsgericht im Zirkulationsverfahren gemäss Art. 53 GerG entschieden: 1. Die Beschwerde wird abgewiesen. 2. Die Beschwerdeführerin wird zufolge unentgeltlicher Rechtspflege von der Bezahlung der Gerichtskosten in der Höhe von Fr. 600.00 befreit. 3. Der Staat hat den Rechtsvertreter der Beschwerdeführerin zufolge unentgeltlicher Rechtsverbeiständung mit Fr. 2'800.00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